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FE1814">
        <w:rPr>
          <w:rFonts w:cs="Arial"/>
          <w:noProof w:val="0"/>
          <w:sz w:val="22"/>
        </w:rPr>
        <w:t>GPP TSG-RAN WG4 Meeting # 111</w:t>
      </w:r>
      <w:r w:rsidRPr="00F144D7">
        <w:rPr>
          <w:rFonts w:cs="Arial"/>
          <w:noProof w:val="0"/>
          <w:sz w:val="22"/>
        </w:rPr>
        <w:tab/>
      </w:r>
      <w:r w:rsidR="00BB4569">
        <w:rPr>
          <w:rFonts w:cs="Arial"/>
          <w:noProof w:val="0"/>
          <w:sz w:val="22"/>
        </w:rPr>
        <w:t>R4-24</w:t>
      </w:r>
      <w:r w:rsidR="00CA420A" w:rsidRPr="00CA420A">
        <w:rPr>
          <w:rFonts w:cs="Arial"/>
          <w:noProof w:val="0"/>
          <w:sz w:val="22"/>
        </w:rPr>
        <w:t>08076</w:t>
      </w:r>
    </w:p>
    <w:p w:rsidR="00FE1814" w:rsidRDefault="00FE1814" w:rsidP="00FE1814">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 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p w:rsidR="00AB0650" w:rsidRPr="00FE1814"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bookmarkStart w:id="3" w:name="_GoBack"/>
      <w:bookmarkEnd w:id="3"/>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SAR Solution</w:t>
      </w:r>
      <w:r w:rsidR="00F2669F">
        <w:rPr>
          <w:rFonts w:ascii="Arial" w:hAnsi="Arial" w:cs="Arial"/>
          <w:sz w:val="22"/>
          <w:lang w:val="en-US"/>
        </w:rPr>
        <w:t xml:space="preserve"> </w:t>
      </w:r>
      <w:r w:rsidR="00F2669F" w:rsidRPr="00F2669F">
        <w:rPr>
          <w:rFonts w:ascii="Arial" w:hAnsi="Arial" w:cs="Arial" w:hint="eastAsia"/>
          <w:sz w:val="22"/>
          <w:lang w:val="en-US"/>
        </w:rPr>
        <w:t>of</w:t>
      </w:r>
      <w:r w:rsidR="00F2669F">
        <w:rPr>
          <w:rFonts w:ascii="Arial" w:hAnsi="Arial" w:cs="Arial"/>
          <w:sz w:val="22"/>
          <w:lang w:val="en-US"/>
        </w:rPr>
        <w:t xml:space="preserve"> </w:t>
      </w:r>
      <w:r w:rsidR="0011628C" w:rsidRPr="00F2669F">
        <w:rPr>
          <w:rFonts w:ascii="Arial" w:hAnsi="Arial" w:cs="Arial" w:hint="eastAsia"/>
          <w:sz w:val="22"/>
          <w:lang w:val="en-US"/>
        </w:rPr>
        <w:t>R19</w:t>
      </w:r>
      <w:r w:rsidR="00F2669F" w:rsidRPr="00F2669F">
        <w:rPr>
          <w:rFonts w:ascii="Arial" w:hAnsi="Arial" w:cs="Arial"/>
          <w:sz w:val="22"/>
          <w:lang w:val="en-US"/>
        </w:rPr>
        <w:t xml:space="preserve"> </w:t>
      </w:r>
      <w:r w:rsidR="00F2669F" w:rsidRPr="00F2669F">
        <w:rPr>
          <w:rFonts w:ascii="Arial" w:hAnsi="Arial" w:cs="Arial" w:hint="eastAsia"/>
          <w:sz w:val="22"/>
          <w:lang w:val="en-US"/>
        </w:rPr>
        <w:t>HPUE</w:t>
      </w:r>
      <w:r w:rsidR="00F2669F">
        <w:rPr>
          <w:rFonts w:ascii="Arial" w:hAnsi="Arial" w:cs="Arial"/>
          <w:sz w:val="22"/>
          <w:lang w:val="en-US"/>
        </w:rPr>
        <w:t xml:space="preserve"> </w:t>
      </w:r>
      <w:r w:rsidR="0070418F">
        <w:rPr>
          <w:rFonts w:ascii="Arial" w:hAnsi="Arial" w:cs="Arial"/>
          <w:sz w:val="22"/>
          <w:lang w:val="en-US"/>
        </w:rPr>
        <w:t xml:space="preserve">for </w:t>
      </w:r>
      <w:r w:rsidR="00F2669F" w:rsidRPr="00F2669F">
        <w:rPr>
          <w:rFonts w:ascii="Arial" w:hAnsi="Arial" w:cs="Arial" w:hint="eastAsia"/>
          <w:sz w:val="22"/>
          <w:lang w:val="en-US"/>
        </w:rPr>
        <w:t>CA</w:t>
      </w:r>
      <w:r w:rsidR="00FE1814">
        <w:rPr>
          <w:rFonts w:ascii="Arial" w:hAnsi="Arial" w:cs="Arial"/>
          <w:sz w:val="22"/>
          <w:lang w:val="en-US"/>
        </w:rPr>
        <w:t xml:space="preserve"> and EN-DC</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E1814" w:rsidRPr="00FE1814">
        <w:rPr>
          <w:rFonts w:ascii="Arial" w:hAnsi="Arial" w:cs="Arial"/>
          <w:sz w:val="22"/>
          <w:lang w:val="en-US"/>
        </w:rPr>
        <w:t>10.1.1.2</w:t>
      </w:r>
      <w:r w:rsidR="00FE1814" w:rsidRPr="00FE1814">
        <w:rPr>
          <w:rFonts w:ascii="Arial" w:hAnsi="Arial" w:cs="Arial"/>
          <w:sz w:val="22"/>
          <w:lang w:val="en-US"/>
        </w:rPr>
        <w:tab/>
        <w:t>High power UE (HPUE) for CA in terrestrial network (TN)</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Pr="006E4ECA" w:rsidRDefault="00B46CB4" w:rsidP="006E4ECA">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sidR="00FB488A">
        <w:rPr>
          <w:rFonts w:eastAsia="宋体"/>
          <w:lang w:eastAsia="zh-CN"/>
        </w:rPr>
        <w:t xml:space="preserve">the last RAN4 meeting, we </w:t>
      </w:r>
      <w:r w:rsidR="00FB488A" w:rsidRPr="00FB488A">
        <w:rPr>
          <w:rFonts w:eastAsia="宋体"/>
          <w:lang w:eastAsia="zh-CN"/>
        </w:rPr>
        <w:t>reach</w:t>
      </w:r>
      <w:r w:rsidR="00FB488A">
        <w:rPr>
          <w:rFonts w:eastAsia="宋体"/>
          <w:lang w:eastAsia="zh-CN"/>
        </w:rPr>
        <w:t>ed</w:t>
      </w:r>
      <w:r w:rsidR="00FB488A" w:rsidRPr="00FB488A">
        <w:rPr>
          <w:rFonts w:eastAsia="宋体"/>
          <w:lang w:eastAsia="zh-CN"/>
        </w:rPr>
        <w:t xml:space="preserve"> a consensus</w:t>
      </w:r>
      <w:r w:rsidR="006E4ECA">
        <w:rPr>
          <w:rFonts w:eastAsia="宋体"/>
          <w:lang w:eastAsia="zh-CN"/>
        </w:rPr>
        <w:t xml:space="preserve"> that we should first discuss the </w:t>
      </w:r>
      <w:r w:rsidR="006E4ECA" w:rsidRPr="006E4ECA">
        <w:rPr>
          <w:rFonts w:eastAsia="宋体"/>
          <w:lang w:eastAsia="zh-CN"/>
        </w:rPr>
        <w:t>applicable</w:t>
      </w:r>
      <w:r w:rsidR="006E4ECA">
        <w:rPr>
          <w:rFonts w:eastAsia="宋体"/>
          <w:lang w:eastAsia="zh-CN"/>
        </w:rPr>
        <w:t xml:space="preserve"> </w:t>
      </w:r>
      <w:r w:rsidR="006E4ECA" w:rsidRPr="006E4ECA">
        <w:rPr>
          <w:rFonts w:eastAsia="宋体"/>
          <w:lang w:eastAsia="zh-CN"/>
        </w:rPr>
        <w:t>scenario</w:t>
      </w:r>
      <w:r w:rsidR="006E4ECA">
        <w:rPr>
          <w:rFonts w:eastAsia="宋体"/>
          <w:lang w:eastAsia="zh-CN"/>
        </w:rPr>
        <w:t xml:space="preserve">s of </w:t>
      </w:r>
      <w:r w:rsidR="006E4ECA" w:rsidRPr="006E4ECA">
        <w:rPr>
          <w:rFonts w:eastAsia="宋体"/>
          <w:lang w:eastAsia="zh-CN"/>
        </w:rPr>
        <w:t>duty-cycle solution in this WI</w:t>
      </w:r>
      <w:r w:rsidR="006E4ECA">
        <w:rPr>
          <w:rFonts w:eastAsia="宋体"/>
          <w:lang w:eastAsia="zh-CN"/>
        </w:rPr>
        <w:t xml:space="preserve"> and leave t</w:t>
      </w:r>
      <w:r w:rsidR="006E4ECA" w:rsidRPr="006E4ECA">
        <w:rPr>
          <w:rFonts w:eastAsia="宋体"/>
          <w:lang w:eastAsia="zh-CN"/>
        </w:rPr>
        <w:t>echnical details</w:t>
      </w:r>
      <w:r w:rsidR="006E4ECA">
        <w:rPr>
          <w:rFonts w:eastAsia="宋体"/>
          <w:lang w:eastAsia="zh-CN"/>
        </w:rPr>
        <w:t xml:space="preserve"> discussion later.</w:t>
      </w:r>
    </w:p>
    <w:p w:rsidR="001B6CCA" w:rsidRPr="003F24D7" w:rsidRDefault="006E4ECA" w:rsidP="003F24D7">
      <w:pPr>
        <w:overflowPunct/>
        <w:autoSpaceDE/>
        <w:autoSpaceDN/>
        <w:adjustRightInd/>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we provide </w:t>
      </w:r>
      <w:r>
        <w:rPr>
          <w:rFonts w:eastAsia="宋体"/>
          <w:lang w:eastAsia="zh-CN"/>
        </w:rPr>
        <w:t>our</w:t>
      </w:r>
      <w:r w:rsidR="00E01372">
        <w:rPr>
          <w:rFonts w:eastAsia="宋体"/>
          <w:lang w:eastAsia="zh-CN"/>
        </w:rPr>
        <w:t xml:space="preserve"> views on it.</w:t>
      </w:r>
    </w:p>
    <w:p w:rsidR="00AB0650" w:rsidRDefault="00AB0650" w:rsidP="00AB0650">
      <w:pPr>
        <w:pStyle w:val="1"/>
        <w:rPr>
          <w:rFonts w:eastAsia="宋体"/>
          <w:lang w:eastAsia="zh-CN"/>
        </w:rPr>
      </w:pPr>
      <w:r w:rsidRPr="00E14F5F">
        <w:rPr>
          <w:rFonts w:eastAsia="宋体"/>
          <w:lang w:eastAsia="zh-CN"/>
        </w:rPr>
        <w:t>Discussion</w:t>
      </w:r>
    </w:p>
    <w:p w:rsidR="00496668" w:rsidRPr="00496668" w:rsidRDefault="00496668" w:rsidP="00496668">
      <w:pPr>
        <w:pStyle w:val="2"/>
        <w:numPr>
          <w:ilvl w:val="0"/>
          <w:numId w:val="0"/>
        </w:numPr>
        <w:spacing w:after="312"/>
        <w:rPr>
          <w:lang w:eastAsia="zh-CN"/>
        </w:rPr>
      </w:pPr>
      <w:r>
        <w:rPr>
          <w:rFonts w:eastAsiaTheme="minorEastAsia" w:hint="eastAsia"/>
          <w:lang w:eastAsia="zh-CN"/>
        </w:rPr>
        <w:t>2</w:t>
      </w:r>
      <w:r>
        <w:rPr>
          <w:rFonts w:eastAsiaTheme="minorEastAsia"/>
          <w:lang w:eastAsia="zh-CN"/>
        </w:rPr>
        <w:t>.1 Scenarios</w:t>
      </w:r>
    </w:p>
    <w:p w:rsidR="00C312C3" w:rsidRDefault="00D434E5" w:rsidP="00E55067">
      <w:pPr>
        <w:overflowPunct/>
        <w:autoSpaceDE/>
        <w:autoSpaceDN/>
        <w:adjustRightInd/>
        <w:jc w:val="both"/>
        <w:textAlignment w:val="auto"/>
        <w:rPr>
          <w:rFonts w:eastAsia="宋体"/>
          <w:lang w:eastAsia="zh-CN"/>
        </w:rPr>
      </w:pPr>
      <w:r>
        <w:rPr>
          <w:rFonts w:eastAsia="宋体"/>
          <w:lang w:eastAsia="zh-CN"/>
        </w:rPr>
        <w:t xml:space="preserve">About duty-cycle SAR solution </w:t>
      </w:r>
      <w:r w:rsidR="00B537D7">
        <w:rPr>
          <w:rFonts w:eastAsia="宋体"/>
          <w:lang w:eastAsia="zh-CN"/>
        </w:rPr>
        <w:t>the way forward after RAN4#110-bis is as follows [1].</w:t>
      </w:r>
    </w:p>
    <w:tbl>
      <w:tblPr>
        <w:tblStyle w:val="a9"/>
        <w:tblW w:w="0" w:type="auto"/>
        <w:tblLook w:val="04A0" w:firstRow="1" w:lastRow="0" w:firstColumn="1" w:lastColumn="0" w:noHBand="0" w:noVBand="1"/>
      </w:tblPr>
      <w:tblGrid>
        <w:gridCol w:w="8296"/>
      </w:tblGrid>
      <w:tr w:rsidR="00B537D7" w:rsidTr="00225DD9">
        <w:tc>
          <w:tcPr>
            <w:tcW w:w="8296" w:type="dxa"/>
            <w:shd w:val="clear" w:color="auto" w:fill="auto"/>
          </w:tcPr>
          <w:p w:rsidR="00B537D7" w:rsidRDefault="00B537D7" w:rsidP="00B537D7">
            <w:pPr>
              <w:spacing w:after="0"/>
              <w:rPr>
                <w:b/>
                <w:lang w:eastAsia="zh-CN"/>
              </w:rPr>
            </w:pPr>
            <w:r>
              <w:rPr>
                <w:b/>
                <w:lang w:eastAsia="zh-CN"/>
              </w:rPr>
              <w:t xml:space="preserve">Way forward: </w:t>
            </w:r>
          </w:p>
          <w:p w:rsidR="00B537D7" w:rsidRDefault="00B537D7" w:rsidP="00B537D7">
            <w:pPr>
              <w:spacing w:after="0"/>
              <w:rPr>
                <w:lang w:eastAsia="zh-CN"/>
              </w:rPr>
            </w:pPr>
            <w:r>
              <w:rPr>
                <w:lang w:eastAsia="zh-CN"/>
              </w:rPr>
              <w:t>FFS on following options SAR solution with consideration the P-MPR is applicable.</w:t>
            </w:r>
          </w:p>
          <w:p w:rsidR="00B537D7" w:rsidRDefault="00B537D7" w:rsidP="00B537D7">
            <w:pPr>
              <w:pStyle w:val="B1"/>
              <w:spacing w:after="0"/>
              <w:rPr>
                <w:lang w:eastAsia="zh-CN"/>
              </w:rPr>
            </w:pPr>
            <w:r>
              <w:rPr>
                <w:lang w:eastAsia="zh-CN"/>
              </w:rPr>
              <w:t>-</w:t>
            </w:r>
            <w:r>
              <w:rPr>
                <w:lang w:eastAsia="zh-CN"/>
              </w:rPr>
              <w:tab/>
              <w:t>Option 1: Duty-cycle solution is not considered for any HPUE scenarios in this WI</w:t>
            </w:r>
          </w:p>
          <w:p w:rsidR="00B537D7" w:rsidRDefault="00B537D7" w:rsidP="00B537D7">
            <w:pPr>
              <w:pStyle w:val="B1"/>
              <w:spacing w:after="0"/>
              <w:rPr>
                <w:lang w:eastAsia="zh-CN"/>
              </w:rPr>
            </w:pPr>
            <w:r>
              <w:rPr>
                <w:lang w:eastAsia="zh-CN"/>
              </w:rPr>
              <w:t>-  Option 2</w:t>
            </w:r>
            <w:r>
              <w:rPr>
                <w:rFonts w:ascii="宋体" w:eastAsia="宋体" w:hAnsi="宋体" w:cs="宋体" w:hint="eastAsia"/>
                <w:lang w:eastAsia="zh-CN"/>
              </w:rPr>
              <w:t>：</w:t>
            </w:r>
            <w:r>
              <w:rPr>
                <w:lang w:eastAsia="zh-CN"/>
              </w:rPr>
              <w:t>Duty-cycle solution is considered for all HPUE scenarios in this WI</w:t>
            </w:r>
          </w:p>
          <w:p w:rsidR="00B537D7" w:rsidRPr="003960CF" w:rsidRDefault="00B537D7" w:rsidP="00B537D7">
            <w:pPr>
              <w:pStyle w:val="B1"/>
              <w:spacing w:after="0"/>
              <w:rPr>
                <w:rFonts w:eastAsiaTheme="minorEastAsia"/>
                <w:lang w:eastAsia="zh-CN"/>
              </w:rPr>
            </w:pPr>
            <w:r>
              <w:rPr>
                <w:lang w:eastAsia="zh-CN"/>
              </w:rPr>
              <w:t>-  Option 3</w:t>
            </w:r>
            <w:r>
              <w:rPr>
                <w:rFonts w:ascii="宋体" w:eastAsia="宋体" w:hAnsi="宋体" w:cs="宋体" w:hint="eastAsia"/>
                <w:lang w:eastAsia="zh-CN"/>
              </w:rPr>
              <w:t>：</w:t>
            </w:r>
            <w:r>
              <w:rPr>
                <w:lang w:eastAsia="zh-CN"/>
              </w:rPr>
              <w:t>Duty-cycle solution is considered for all HPUE scenarios in this WI except for “</w:t>
            </w:r>
            <w:r w:rsidRPr="0038453D">
              <w:t>increasing UE transmission power limit</w:t>
            </w:r>
            <w:r>
              <w:rPr>
                <w:lang w:eastAsia="zh-CN"/>
              </w:rPr>
              <w:t>”</w:t>
            </w:r>
          </w:p>
          <w:p w:rsidR="00B537D7" w:rsidRPr="00B537D7" w:rsidRDefault="00B537D7" w:rsidP="00B537D7">
            <w:pPr>
              <w:pStyle w:val="B1"/>
              <w:spacing w:after="0"/>
              <w:rPr>
                <w:lang w:eastAsia="zh-CN"/>
              </w:rPr>
            </w:pPr>
            <w:r>
              <w:rPr>
                <w:lang w:eastAsia="zh-CN"/>
              </w:rPr>
              <w:t>-</w:t>
            </w:r>
            <w:r>
              <w:rPr>
                <w:lang w:eastAsia="zh-CN"/>
              </w:rPr>
              <w:tab/>
              <w:t>Option 4: Duty-cycle solution is considered for limited scenarios, further study which scenarios to consider</w:t>
            </w:r>
          </w:p>
        </w:tc>
      </w:tr>
    </w:tbl>
    <w:p w:rsidR="00225DD9" w:rsidRDefault="00225DD9" w:rsidP="00E55067">
      <w:pPr>
        <w:overflowPunct/>
        <w:autoSpaceDE/>
        <w:autoSpaceDN/>
        <w:adjustRightInd/>
        <w:jc w:val="both"/>
        <w:textAlignment w:val="auto"/>
        <w:rPr>
          <w:rFonts w:eastAsia="宋体"/>
          <w:lang w:eastAsia="zh-CN"/>
        </w:rPr>
      </w:pPr>
    </w:p>
    <w:p w:rsidR="004F06F6" w:rsidRDefault="00BA684F" w:rsidP="00E55067">
      <w:pPr>
        <w:overflowPunct/>
        <w:autoSpaceDE/>
        <w:autoSpaceDN/>
        <w:adjustRightInd/>
        <w:jc w:val="both"/>
        <w:textAlignment w:val="auto"/>
        <w:rPr>
          <w:rFonts w:eastAsia="宋体"/>
          <w:lang w:eastAsia="zh-CN"/>
        </w:rPr>
      </w:pPr>
      <w:r>
        <w:rPr>
          <w:rFonts w:eastAsia="宋体"/>
          <w:lang w:eastAsia="zh-CN"/>
        </w:rPr>
        <w:t xml:space="preserve">Actually, P-MPR </w:t>
      </w:r>
      <w:r w:rsidR="009B4935" w:rsidRPr="009B4935">
        <w:rPr>
          <w:rFonts w:eastAsia="宋体"/>
          <w:lang w:eastAsia="zh-CN"/>
        </w:rPr>
        <w:t xml:space="preserve">methods </w:t>
      </w:r>
      <w:r>
        <w:rPr>
          <w:rFonts w:eastAsia="宋体"/>
          <w:lang w:eastAsia="zh-CN"/>
        </w:rPr>
        <w:t xml:space="preserve">is related to UE </w:t>
      </w:r>
      <w:r w:rsidR="009B4935" w:rsidRPr="009B4935">
        <w:rPr>
          <w:rFonts w:eastAsia="宋体"/>
          <w:lang w:eastAsia="zh-CN"/>
        </w:rPr>
        <w:t>implementation</w:t>
      </w:r>
      <w:r w:rsidR="009B4935">
        <w:rPr>
          <w:rFonts w:eastAsia="宋体"/>
          <w:lang w:eastAsia="zh-CN"/>
        </w:rPr>
        <w:t xml:space="preserve"> which is </w:t>
      </w:r>
      <w:r w:rsidR="007E20CC" w:rsidRPr="007E20CC">
        <w:rPr>
          <w:rFonts w:eastAsia="宋体"/>
          <w:lang w:eastAsia="zh-CN"/>
        </w:rPr>
        <w:t>insensitive</w:t>
      </w:r>
      <w:r w:rsidR="007E20CC">
        <w:rPr>
          <w:rFonts w:eastAsia="宋体"/>
          <w:lang w:eastAsia="zh-CN"/>
        </w:rPr>
        <w:t xml:space="preserve"> to CA/DC b</w:t>
      </w:r>
      <w:r w:rsidR="000450BA">
        <w:rPr>
          <w:rFonts w:eastAsia="宋体"/>
          <w:lang w:eastAsia="zh-CN"/>
        </w:rPr>
        <w:t>ands combonations</w:t>
      </w:r>
      <w:r w:rsidR="007E20CC">
        <w:rPr>
          <w:rFonts w:eastAsia="宋体"/>
          <w:lang w:eastAsia="zh-CN"/>
        </w:rPr>
        <w:t xml:space="preserve"> or Tx number. P-MPR can apply to any HPUE scenarios and not need new requirement or specification. </w:t>
      </w:r>
      <w:r w:rsidR="00E452A1">
        <w:rPr>
          <w:rFonts w:eastAsia="宋体"/>
          <w:lang w:eastAsia="zh-CN"/>
        </w:rPr>
        <w:t xml:space="preserve">So P-MPR </w:t>
      </w:r>
      <w:r w:rsidR="00BD574D">
        <w:rPr>
          <w:rFonts w:eastAsia="宋体"/>
          <w:lang w:eastAsia="zh-CN"/>
        </w:rPr>
        <w:t>could</w:t>
      </w:r>
      <w:r w:rsidR="00E452A1">
        <w:rPr>
          <w:rFonts w:eastAsia="宋体"/>
          <w:lang w:eastAsia="zh-CN"/>
        </w:rPr>
        <w:t xml:space="preserve"> be the default</w:t>
      </w:r>
      <w:r w:rsidR="00BD574D">
        <w:rPr>
          <w:rFonts w:eastAsia="宋体"/>
          <w:lang w:eastAsia="zh-CN"/>
        </w:rPr>
        <w:t xml:space="preserve"> SAR</w:t>
      </w:r>
      <w:r w:rsidR="00BD574D" w:rsidRPr="00BD574D">
        <w:rPr>
          <w:rFonts w:eastAsia="宋体"/>
          <w:lang w:eastAsia="zh-CN"/>
        </w:rPr>
        <w:t xml:space="preserve"> </w:t>
      </w:r>
      <w:r w:rsidR="00BD574D">
        <w:rPr>
          <w:rFonts w:eastAsia="宋体"/>
          <w:lang w:eastAsia="zh-CN"/>
        </w:rPr>
        <w:t xml:space="preserve">solution for all the HPUE scenarios. </w:t>
      </w:r>
    </w:p>
    <w:p w:rsidR="00B537D7" w:rsidRDefault="000450BA" w:rsidP="00E55067">
      <w:pPr>
        <w:overflowPunct/>
        <w:autoSpaceDE/>
        <w:autoSpaceDN/>
        <w:adjustRightInd/>
        <w:jc w:val="both"/>
        <w:textAlignment w:val="auto"/>
        <w:rPr>
          <w:rFonts w:eastAsia="宋体"/>
          <w:lang w:eastAsia="zh-CN"/>
        </w:rPr>
      </w:pPr>
      <w:r>
        <w:rPr>
          <w:rFonts w:eastAsia="宋体"/>
          <w:lang w:eastAsia="zh-CN"/>
        </w:rPr>
        <w:t xml:space="preserve">But P-MPR has no reporting </w:t>
      </w:r>
      <w:r w:rsidRPr="000450BA">
        <w:rPr>
          <w:rFonts w:eastAsia="宋体"/>
          <w:lang w:eastAsia="zh-CN"/>
        </w:rPr>
        <w:t>mechanism</w:t>
      </w:r>
      <w:r>
        <w:rPr>
          <w:rFonts w:eastAsia="宋体"/>
          <w:lang w:eastAsia="zh-CN"/>
        </w:rPr>
        <w:t xml:space="preserve"> in FR1 and it is not </w:t>
      </w:r>
      <w:r w:rsidRPr="000450BA">
        <w:rPr>
          <w:rFonts w:eastAsia="宋体" w:hint="eastAsia"/>
          <w:lang w:eastAsia="zh-CN"/>
        </w:rPr>
        <w:t>appropriate</w:t>
      </w:r>
      <w:r w:rsidRPr="000450BA">
        <w:rPr>
          <w:rFonts w:eastAsia="宋体"/>
          <w:lang w:eastAsia="zh-CN"/>
        </w:rPr>
        <w:t xml:space="preserve"> </w:t>
      </w:r>
      <w:r>
        <w:rPr>
          <w:rFonts w:eastAsia="宋体"/>
          <w:lang w:eastAsia="zh-CN"/>
        </w:rPr>
        <w:t xml:space="preserve">to be the only SAR solution for PC1.5 </w:t>
      </w:r>
      <w:r w:rsidRPr="003960CF">
        <w:t>intra-band UL CA</w:t>
      </w:r>
      <w:r>
        <w:t xml:space="preserve"> or inter band with 2/3Tx and increasing high power limit. </w:t>
      </w:r>
      <w:r w:rsidR="004F06F6">
        <w:t>T</w:t>
      </w:r>
      <w:r w:rsidR="004F06F6" w:rsidRPr="004F06F6">
        <w:t>erminal</w:t>
      </w:r>
      <w:r w:rsidR="004F06F6">
        <w:t xml:space="preserve">s should </w:t>
      </w:r>
      <w:r w:rsidR="004F06F6">
        <w:lastRenderedPageBreak/>
        <w:t>have choice to support SAR solution reporting capability</w:t>
      </w:r>
      <w:r w:rsidR="000829F1">
        <w:t xml:space="preserve"> (i.e. duty-cycle solution)</w:t>
      </w:r>
      <w:r w:rsidR="004F06F6">
        <w:t xml:space="preserve"> and NW could configure it. </w:t>
      </w:r>
    </w:p>
    <w:p w:rsidR="00BD574D" w:rsidRPr="00BD574D" w:rsidRDefault="00BD574D" w:rsidP="00BD574D">
      <w:pPr>
        <w:overflowPunct/>
        <w:autoSpaceDE/>
        <w:autoSpaceDN/>
        <w:adjustRightInd/>
        <w:jc w:val="both"/>
        <w:textAlignment w:val="auto"/>
        <w:rPr>
          <w:rFonts w:eastAsia="宋体"/>
          <w:b/>
          <w:i/>
          <w:lang w:eastAsia="zh-CN"/>
        </w:rPr>
      </w:pPr>
      <w:r w:rsidRPr="00BD574D">
        <w:rPr>
          <w:rFonts w:eastAsia="宋体"/>
          <w:b/>
          <w:i/>
          <w:lang w:eastAsia="zh-CN"/>
        </w:rPr>
        <w:t>Obsvertion1: P-MPR could be the default SAR solution for all the HPUE scenarios.</w:t>
      </w:r>
    </w:p>
    <w:p w:rsidR="00BD574D" w:rsidRPr="000829F1" w:rsidRDefault="004F06F6" w:rsidP="000829F1">
      <w:pPr>
        <w:overflowPunct/>
        <w:autoSpaceDE/>
        <w:autoSpaceDN/>
        <w:adjustRightInd/>
        <w:jc w:val="both"/>
        <w:textAlignment w:val="auto"/>
        <w:rPr>
          <w:rFonts w:eastAsia="宋体"/>
          <w:b/>
          <w:i/>
          <w:lang w:eastAsia="zh-CN"/>
        </w:rPr>
      </w:pPr>
      <w:r w:rsidRPr="000829F1">
        <w:rPr>
          <w:rFonts w:eastAsia="宋体" w:hint="eastAsia"/>
          <w:b/>
          <w:i/>
          <w:lang w:eastAsia="zh-CN"/>
        </w:rPr>
        <w:t>P</w:t>
      </w:r>
      <w:r w:rsidRPr="000829F1">
        <w:rPr>
          <w:rFonts w:eastAsia="宋体"/>
          <w:b/>
          <w:i/>
          <w:lang w:eastAsia="zh-CN"/>
        </w:rPr>
        <w:t>roposal1:</w:t>
      </w:r>
      <w:r w:rsidR="000829F1" w:rsidRPr="000829F1">
        <w:rPr>
          <w:rFonts w:eastAsia="宋体"/>
          <w:b/>
          <w:i/>
          <w:lang w:eastAsia="zh-CN"/>
        </w:rPr>
        <w:t xml:space="preserve"> P-MPR cannot be the only SAR solution for all the HPUE scenarios since we don’t support P-MPR reporting in FR1. </w:t>
      </w:r>
      <w:r w:rsidR="009A6AAC">
        <w:rPr>
          <w:rFonts w:eastAsia="宋体"/>
          <w:b/>
          <w:i/>
          <w:lang w:eastAsia="zh-CN"/>
        </w:rPr>
        <w:t>UE</w:t>
      </w:r>
      <w:r w:rsidR="000829F1" w:rsidRPr="000829F1">
        <w:rPr>
          <w:rFonts w:eastAsia="宋体"/>
          <w:b/>
          <w:i/>
          <w:lang w:eastAsia="zh-CN"/>
        </w:rPr>
        <w:t xml:space="preserve"> should have choice to support SAR solution reporting capability (i.e. duty-cycle solution) and NW could configure it.</w:t>
      </w:r>
    </w:p>
    <w:p w:rsidR="000829F1" w:rsidRPr="006D3047" w:rsidRDefault="000829F1" w:rsidP="00BD574D">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increasing high power limit feature, </w:t>
      </w:r>
      <w:r w:rsidR="00225DD9">
        <w:rPr>
          <w:rFonts w:eastAsia="宋体"/>
          <w:lang w:eastAsia="zh-CN"/>
        </w:rPr>
        <w:t>we can align with the agreement</w:t>
      </w:r>
      <w:r w:rsidR="00EB7383">
        <w:rPr>
          <w:rFonts w:eastAsia="宋体"/>
          <w:lang w:eastAsia="zh-CN"/>
        </w:rPr>
        <w:t xml:space="preserve"> after RAN#108-bis [2] that </w:t>
      </w:r>
      <w:r w:rsidR="00EB7383" w:rsidRPr="006D3047">
        <w:rPr>
          <w:rFonts w:eastAsia="宋体"/>
          <w:lang w:eastAsia="zh-CN"/>
        </w:rPr>
        <w:t xml:space="preserve">P-MPR is used for SAR mitigation for increasing high power limit feature since the duty-cycle solution fallback value is hard to define. </w:t>
      </w:r>
      <w:r w:rsidR="006D3047" w:rsidRPr="006D3047">
        <w:rPr>
          <w:rFonts w:eastAsia="宋体"/>
          <w:lang w:eastAsia="zh-CN"/>
        </w:rPr>
        <w:t>So actually the option 3 in WF[1] is more reasonable that all HPUE scenarios in this WI except for “increasing UE transmission power limit”</w:t>
      </w:r>
      <w:r w:rsidR="006D3047">
        <w:rPr>
          <w:rFonts w:eastAsia="宋体"/>
          <w:lang w:eastAsia="zh-CN"/>
        </w:rPr>
        <w:t xml:space="preserve"> should consider duty-cycle solution. </w:t>
      </w:r>
    </w:p>
    <w:tbl>
      <w:tblPr>
        <w:tblStyle w:val="a9"/>
        <w:tblW w:w="0" w:type="auto"/>
        <w:tblLook w:val="04A0" w:firstRow="1" w:lastRow="0" w:firstColumn="1" w:lastColumn="0" w:noHBand="0" w:noVBand="1"/>
      </w:tblPr>
      <w:tblGrid>
        <w:gridCol w:w="8296"/>
      </w:tblGrid>
      <w:tr w:rsidR="00225DD9" w:rsidTr="00225DD9">
        <w:tc>
          <w:tcPr>
            <w:tcW w:w="8296" w:type="dxa"/>
          </w:tcPr>
          <w:p w:rsidR="00225DD9" w:rsidRPr="00225DD9" w:rsidRDefault="00225DD9" w:rsidP="00225DD9">
            <w:pPr>
              <w:spacing w:afterLines="50" w:after="156"/>
              <w:rPr>
                <w:b/>
                <w:lang w:eastAsia="zh-CN"/>
              </w:rPr>
            </w:pPr>
            <w:r>
              <w:rPr>
                <w:b/>
                <w:lang w:eastAsia="zh-CN"/>
              </w:rPr>
              <w:t>&lt;Agreement&gt;</w:t>
            </w:r>
            <w:r w:rsidRPr="00EF3FF4">
              <w:rPr>
                <w:b/>
                <w:lang w:eastAsia="zh-CN"/>
              </w:rPr>
              <w:t>:</w:t>
            </w:r>
          </w:p>
          <w:p w:rsidR="00225DD9" w:rsidRPr="00225DD9" w:rsidRDefault="00225DD9" w:rsidP="00225DD9">
            <w:pPr>
              <w:pStyle w:val="B1"/>
              <w:rPr>
                <w:rFonts w:eastAsiaTheme="minorEastAsia"/>
                <w:lang w:eastAsia="zh-CN"/>
              </w:rPr>
            </w:pPr>
            <w:r>
              <w:rPr>
                <w:lang w:eastAsia="zh-CN"/>
              </w:rPr>
              <w:t>-</w:t>
            </w:r>
            <w:r>
              <w:rPr>
                <w:lang w:eastAsia="zh-CN"/>
              </w:rPr>
              <w:tab/>
              <w:t xml:space="preserve">The high-power limit feature only applies with </w:t>
            </w:r>
            <w:r w:rsidRPr="00BF0E96">
              <w:t>ΔP</w:t>
            </w:r>
            <w:r w:rsidRPr="00BF0E96">
              <w:rPr>
                <w:vertAlign w:val="subscript"/>
              </w:rPr>
              <w:t>PowerClass</w:t>
            </w:r>
            <w:r>
              <w:t xml:space="preserve"> = 0 dB</w:t>
            </w:r>
            <w:r>
              <w:rPr>
                <w:lang w:eastAsia="zh-CN"/>
              </w:rPr>
              <w:t>, which is aligned with the Rel-17 agreement i.e. P-MPR is used for SAR mitigation for high power limit feature.</w:t>
            </w:r>
          </w:p>
        </w:tc>
      </w:tr>
    </w:tbl>
    <w:p w:rsidR="006D3047" w:rsidRDefault="006D3047" w:rsidP="006D3047">
      <w:pPr>
        <w:overflowPunct/>
        <w:autoSpaceDE/>
        <w:autoSpaceDN/>
        <w:adjustRightInd/>
        <w:jc w:val="both"/>
        <w:textAlignment w:val="auto"/>
        <w:rPr>
          <w:rFonts w:eastAsia="宋体"/>
          <w:lang w:eastAsia="zh-CN"/>
        </w:rPr>
      </w:pPr>
    </w:p>
    <w:p w:rsidR="00225DD9" w:rsidRDefault="006D3047" w:rsidP="006D3047">
      <w:pPr>
        <w:overflowPunct/>
        <w:autoSpaceDE/>
        <w:autoSpaceDN/>
        <w:adjustRightInd/>
        <w:jc w:val="both"/>
        <w:textAlignment w:val="auto"/>
        <w:rPr>
          <w:rFonts w:eastAsia="宋体"/>
          <w:b/>
          <w:i/>
          <w:lang w:eastAsia="zh-CN"/>
        </w:rPr>
      </w:pPr>
      <w:r w:rsidRPr="006D3047">
        <w:rPr>
          <w:rFonts w:eastAsia="宋体" w:hint="eastAsia"/>
          <w:b/>
          <w:i/>
          <w:lang w:eastAsia="zh-CN"/>
        </w:rPr>
        <w:t>P</w:t>
      </w:r>
      <w:r w:rsidRPr="006D3047">
        <w:rPr>
          <w:rFonts w:eastAsia="宋体"/>
          <w:b/>
          <w:i/>
          <w:lang w:eastAsia="zh-CN"/>
        </w:rPr>
        <w:t xml:space="preserve">roposal2: the option 3 </w:t>
      </w:r>
      <w:r w:rsidR="009A6AAC">
        <w:rPr>
          <w:rFonts w:eastAsia="宋体"/>
          <w:b/>
          <w:i/>
          <w:lang w:eastAsia="zh-CN"/>
        </w:rPr>
        <w:t>in WF[1] is more reasonable:</w:t>
      </w:r>
      <w:r w:rsidRPr="006D3047">
        <w:rPr>
          <w:rFonts w:eastAsia="宋体"/>
          <w:b/>
          <w:i/>
          <w:lang w:eastAsia="zh-CN"/>
        </w:rPr>
        <w:t xml:space="preserve"> all HPUE scenarios in this WI except for “increasing UE transmission power limit” should consider duty-cycle solution.</w:t>
      </w:r>
      <w:r>
        <w:rPr>
          <w:rFonts w:eastAsia="宋体"/>
          <w:b/>
          <w:i/>
          <w:lang w:eastAsia="zh-CN"/>
        </w:rPr>
        <w:t xml:space="preserve"> </w:t>
      </w:r>
    </w:p>
    <w:p w:rsidR="00496668" w:rsidRPr="00496668" w:rsidRDefault="00496668" w:rsidP="00496668">
      <w:pPr>
        <w:pStyle w:val="2"/>
        <w:numPr>
          <w:ilvl w:val="0"/>
          <w:numId w:val="0"/>
        </w:numPr>
        <w:spacing w:after="312"/>
        <w:rPr>
          <w:lang w:eastAsia="zh-CN"/>
        </w:rPr>
      </w:pPr>
      <w:r>
        <w:rPr>
          <w:rFonts w:eastAsiaTheme="minorEastAsia" w:hint="eastAsia"/>
          <w:lang w:eastAsia="zh-CN"/>
        </w:rPr>
        <w:t>2</w:t>
      </w:r>
      <w:r>
        <w:rPr>
          <w:rFonts w:eastAsiaTheme="minorEastAsia"/>
          <w:lang w:eastAsia="zh-CN"/>
        </w:rPr>
        <w:t xml:space="preserve">.2 </w:t>
      </w:r>
      <w:r w:rsidR="007265B6">
        <w:rPr>
          <w:rFonts w:eastAsiaTheme="minorEastAsia"/>
          <w:lang w:eastAsia="zh-CN"/>
        </w:rPr>
        <w:t>T</w:t>
      </w:r>
      <w:r w:rsidR="007265B6" w:rsidRPr="007265B6">
        <w:rPr>
          <w:rFonts w:eastAsiaTheme="minorEastAsia"/>
          <w:lang w:eastAsia="zh-CN"/>
        </w:rPr>
        <w:t>echnique</w:t>
      </w:r>
      <w:r w:rsidR="007265B6">
        <w:rPr>
          <w:rFonts w:eastAsiaTheme="minorEastAsia"/>
          <w:lang w:eastAsia="zh-CN"/>
        </w:rPr>
        <w:t xml:space="preserve"> details</w:t>
      </w:r>
    </w:p>
    <w:p w:rsidR="008F67D0" w:rsidRDefault="008F67D0" w:rsidP="007265B6">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many companies mentioned in RAN4#110-bis, we also think the duty-cycle based SAR solution for new scenarios in this WI can reuse the capability and reporting framework for single carrier or PC2 CA case. </w:t>
      </w:r>
    </w:p>
    <w:p w:rsidR="007265B6" w:rsidRDefault="007265B6" w:rsidP="007265B6">
      <w:pPr>
        <w:overflowPunct/>
        <w:autoSpaceDE/>
        <w:autoSpaceDN/>
        <w:adjustRightInd/>
        <w:jc w:val="both"/>
        <w:textAlignment w:val="auto"/>
        <w:rPr>
          <w:rFonts w:eastAsia="宋体"/>
          <w:lang w:eastAsia="zh-CN"/>
        </w:rPr>
      </w:pPr>
      <w:r>
        <w:rPr>
          <w:rFonts w:eastAsia="宋体"/>
          <w:lang w:eastAsia="zh-CN"/>
        </w:rPr>
        <w:t xml:space="preserve">For PC1.5 HPUE for </w:t>
      </w:r>
      <w:r w:rsidR="00845A17">
        <w:rPr>
          <w:rFonts w:eastAsia="宋体"/>
          <w:lang w:eastAsia="zh-CN"/>
        </w:rPr>
        <w:t>intra-band</w:t>
      </w:r>
      <w:r>
        <w:rPr>
          <w:rFonts w:eastAsia="宋体"/>
          <w:lang w:eastAsia="zh-CN"/>
        </w:rPr>
        <w:t xml:space="preserve"> CA </w:t>
      </w:r>
      <w:r w:rsidR="00845A17">
        <w:rPr>
          <w:rFonts w:eastAsia="宋体"/>
          <w:lang w:eastAsia="zh-CN"/>
        </w:rPr>
        <w:t xml:space="preserve">and inter-band CA/DC </w:t>
      </w:r>
      <w:r>
        <w:rPr>
          <w:rFonts w:eastAsia="宋体"/>
          <w:lang w:eastAsia="zh-CN"/>
        </w:rPr>
        <w:t>with 2Tx</w:t>
      </w:r>
      <w:r w:rsidRPr="003F5CEA">
        <w:rPr>
          <w:rFonts w:eastAsia="宋体"/>
          <w:lang w:val="en-US" w:eastAsia="zh-CN"/>
        </w:rPr>
        <w:t xml:space="preserve"> </w:t>
      </w:r>
      <w:r>
        <w:rPr>
          <w:rFonts w:eastAsia="宋体"/>
          <w:lang w:val="en-US" w:eastAsia="zh-CN"/>
        </w:rPr>
        <w:t>and</w:t>
      </w:r>
      <w:r>
        <w:rPr>
          <w:rFonts w:eastAsia="宋体" w:hint="eastAsia"/>
          <w:lang w:val="en-US" w:eastAsia="zh-CN"/>
        </w:rPr>
        <w:t>/</w:t>
      </w:r>
      <w:r>
        <w:rPr>
          <w:rFonts w:eastAsia="宋体"/>
          <w:lang w:val="en-US" w:eastAsia="zh-CN"/>
        </w:rPr>
        <w:t>or 3Tx</w:t>
      </w:r>
      <w:r>
        <w:rPr>
          <w:rFonts w:eastAsia="宋体"/>
          <w:lang w:eastAsia="zh-CN"/>
        </w:rPr>
        <w:t xml:space="preserve">, since only the MOP requirements are changed, the general SAR solution framework above can be kept using. </w:t>
      </w:r>
      <w:r w:rsidR="00845A17">
        <w:rPr>
          <w:rFonts w:eastAsia="宋体"/>
          <w:lang w:eastAsia="zh-CN"/>
        </w:rPr>
        <w:t>T</w:t>
      </w:r>
      <w:r>
        <w:rPr>
          <w:rFonts w:eastAsia="宋体"/>
          <w:lang w:eastAsia="zh-CN"/>
        </w:rPr>
        <w:t xml:space="preserve">he </w:t>
      </w:r>
      <w:r w:rsidRPr="00294BB6">
        <w:rPr>
          <w:rFonts w:eastAsia="宋体"/>
          <w:lang w:eastAsia="zh-CN"/>
        </w:rPr>
        <w:t xml:space="preserve">maximum </w:t>
      </w:r>
      <w:r w:rsidRPr="00A00DE2">
        <w:rPr>
          <w:rFonts w:eastAsia="宋体"/>
          <w:lang w:val="en-US" w:eastAsia="zh-CN"/>
        </w:rPr>
        <w:t>UplinkDutyCycle</w:t>
      </w:r>
      <w:r w:rsidRPr="00294BB6">
        <w:rPr>
          <w:rFonts w:eastAsia="宋体"/>
          <w:lang w:eastAsia="zh-CN"/>
        </w:rPr>
        <w:t xml:space="preserve"> </w:t>
      </w:r>
      <w:r w:rsidRPr="00B3409B">
        <w:rPr>
          <w:rFonts w:eastAsia="宋体"/>
          <w:lang w:eastAsia="zh-CN"/>
        </w:rPr>
        <w:t>threshold</w:t>
      </w:r>
      <w:r>
        <w:rPr>
          <w:rFonts w:eastAsia="宋体"/>
          <w:lang w:eastAsia="zh-CN"/>
        </w:rPr>
        <w:t xml:space="preserve"> should have two values: </w:t>
      </w:r>
      <w:r>
        <w:rPr>
          <w:i/>
        </w:rPr>
        <w:t xml:space="preserve">maxUplinkDutyCycle-interBandCA-PC2 </w:t>
      </w:r>
      <w:r w:rsidRPr="000570E4">
        <w:t xml:space="preserve">and 0.5* </w:t>
      </w:r>
      <w:r>
        <w:rPr>
          <w:i/>
        </w:rPr>
        <w:t>maxUplinkDutyCycle-interBandCA-PC2</w:t>
      </w:r>
      <w:r>
        <w:rPr>
          <w:rFonts w:eastAsia="宋体"/>
          <w:lang w:eastAsia="zh-CN"/>
        </w:rPr>
        <w:t xml:space="preserve">, referring to the PC2 UE for CA. When the total </w:t>
      </w:r>
      <w:r w:rsidRPr="00984BA8">
        <w:rPr>
          <w:rFonts w:eastAsia="宋体"/>
          <w:lang w:eastAsia="zh-CN"/>
        </w:rPr>
        <w:t>average percentage of upl</w:t>
      </w:r>
      <w:r>
        <w:rPr>
          <w:rFonts w:eastAsia="宋体"/>
          <w:lang w:eastAsia="zh-CN"/>
        </w:rPr>
        <w:t xml:space="preserve">ink symbols is </w:t>
      </w:r>
      <w:r w:rsidRPr="002C70B1">
        <w:rPr>
          <w:rFonts w:eastAsia="宋体"/>
          <w:lang w:eastAsia="zh-CN"/>
        </w:rPr>
        <w:t xml:space="preserve">between </w:t>
      </w:r>
      <w:r>
        <w:rPr>
          <w:i/>
        </w:rPr>
        <w:t xml:space="preserve">maxUplinkDutyCycle-interBandCA-PC2 </w:t>
      </w:r>
      <w:r w:rsidRPr="000570E4">
        <w:t xml:space="preserve">and 0.5*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3dBm; When the total </w:t>
      </w:r>
      <w:r w:rsidRPr="00984BA8">
        <w:rPr>
          <w:rFonts w:eastAsia="宋体"/>
          <w:lang w:eastAsia="zh-CN"/>
        </w:rPr>
        <w:t>average percentage of upl</w:t>
      </w:r>
      <w:r>
        <w:rPr>
          <w:rFonts w:eastAsia="宋体"/>
          <w:lang w:eastAsia="zh-CN"/>
        </w:rPr>
        <w:t>ink symbols is lager than</w:t>
      </w:r>
      <w:r w:rsidRPr="002C70B1">
        <w:rPr>
          <w:rFonts w:eastAsia="宋体"/>
          <w:lang w:eastAsia="zh-CN"/>
        </w:rPr>
        <w:t xml:space="preserve">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6dBm. </w:t>
      </w:r>
    </w:p>
    <w:p w:rsidR="007265B6" w:rsidRPr="00E548DD" w:rsidRDefault="00422D54" w:rsidP="007265B6">
      <w:pPr>
        <w:overflowPunct/>
        <w:autoSpaceDE/>
        <w:autoSpaceDN/>
        <w:adjustRightInd/>
        <w:jc w:val="both"/>
        <w:textAlignment w:val="auto"/>
        <w:rPr>
          <w:rFonts w:eastAsia="宋体"/>
          <w:b/>
          <w:i/>
          <w:lang w:val="en-US" w:eastAsia="zh-CN"/>
        </w:rPr>
      </w:pPr>
      <w:r>
        <w:rPr>
          <w:rFonts w:eastAsia="宋体"/>
          <w:b/>
          <w:i/>
          <w:lang w:eastAsia="zh-CN"/>
        </w:rPr>
        <w:t>Proposal3</w:t>
      </w:r>
      <w:r w:rsidR="007265B6" w:rsidRPr="00E548DD">
        <w:rPr>
          <w:rFonts w:eastAsia="宋体"/>
          <w:b/>
          <w:i/>
          <w:lang w:eastAsia="zh-CN"/>
        </w:rPr>
        <w:t xml:space="preserve">: For </w:t>
      </w:r>
      <w:r w:rsidR="00845A17" w:rsidRPr="00845A17">
        <w:rPr>
          <w:rFonts w:eastAsia="宋体"/>
          <w:b/>
          <w:i/>
          <w:lang w:eastAsia="zh-CN"/>
        </w:rPr>
        <w:t>PC1.5 HPUE for intra-band CA and inter-band CA/DC with 2Tx and/or 3Tx</w:t>
      </w:r>
      <w:r w:rsidR="007265B6" w:rsidRPr="00E548DD">
        <w:rPr>
          <w:rFonts w:eastAsia="宋体"/>
          <w:b/>
          <w:i/>
          <w:lang w:eastAsia="zh-CN"/>
        </w:rPr>
        <w:t xml:space="preserve">, the general SAR solution framework </w:t>
      </w:r>
      <w:r w:rsidR="007265B6">
        <w:rPr>
          <w:rFonts w:eastAsia="宋体"/>
          <w:b/>
          <w:i/>
          <w:lang w:eastAsia="zh-CN"/>
        </w:rPr>
        <w:t>and</w:t>
      </w:r>
      <w:r w:rsidR="007265B6" w:rsidRPr="00E548DD">
        <w:rPr>
          <w:rFonts w:eastAsia="宋体"/>
          <w:b/>
          <w:i/>
          <w:lang w:eastAsia="zh-CN"/>
        </w:rPr>
        <w:t xml:space="preserve"> </w:t>
      </w:r>
      <w:r w:rsidR="007265B6">
        <w:rPr>
          <w:rFonts w:eastAsia="宋体"/>
          <w:b/>
          <w:i/>
          <w:lang w:eastAsia="zh-CN"/>
        </w:rPr>
        <w:t xml:space="preserve">the </w:t>
      </w:r>
      <w:r w:rsidR="007265B6" w:rsidRPr="00E548DD">
        <w:rPr>
          <w:rFonts w:eastAsia="宋体"/>
          <w:b/>
          <w:i/>
          <w:lang w:eastAsia="zh-CN"/>
        </w:rPr>
        <w:t xml:space="preserve">threshold </w:t>
      </w:r>
      <w:r w:rsidR="007265B6" w:rsidRPr="00E548DD">
        <w:rPr>
          <w:rFonts w:eastAsia="宋体" w:hint="eastAsia"/>
          <w:b/>
          <w:i/>
          <w:lang w:eastAsia="zh-CN"/>
        </w:rPr>
        <w:t>of</w:t>
      </w:r>
      <w:r w:rsidR="007265B6" w:rsidRPr="00E548DD">
        <w:rPr>
          <w:rFonts w:eastAsia="宋体"/>
          <w:b/>
          <w:i/>
          <w:lang w:eastAsia="zh-CN"/>
        </w:rPr>
        <w:t xml:space="preserve"> average percentage of uplink symbols should </w:t>
      </w:r>
      <w:r w:rsidR="007265B6">
        <w:rPr>
          <w:rFonts w:eastAsia="宋体"/>
          <w:b/>
          <w:i/>
          <w:lang w:eastAsia="zh-CN"/>
        </w:rPr>
        <w:t xml:space="preserve">both </w:t>
      </w:r>
      <w:r w:rsidR="007265B6" w:rsidRPr="00E548DD">
        <w:rPr>
          <w:rFonts w:eastAsia="宋体"/>
          <w:b/>
          <w:i/>
          <w:lang w:eastAsia="zh-CN"/>
        </w:rPr>
        <w:t xml:space="preserve">refer to </w:t>
      </w:r>
      <w:r w:rsidR="007265B6">
        <w:rPr>
          <w:rFonts w:eastAsia="宋体"/>
          <w:b/>
          <w:i/>
          <w:lang w:eastAsia="zh-CN"/>
        </w:rPr>
        <w:t>PC2</w:t>
      </w:r>
      <w:r w:rsidR="007265B6" w:rsidRPr="00E548DD">
        <w:rPr>
          <w:rFonts w:eastAsia="宋体"/>
          <w:b/>
          <w:i/>
          <w:lang w:eastAsia="zh-CN"/>
        </w:rPr>
        <w:t xml:space="preserve"> UE for </w:t>
      </w:r>
      <w:r w:rsidR="007265B6">
        <w:rPr>
          <w:rFonts w:eastAsia="宋体"/>
          <w:b/>
          <w:i/>
          <w:lang w:eastAsia="zh-CN"/>
        </w:rPr>
        <w:t>CA and PC1.5 UE for single CC</w:t>
      </w:r>
      <w:r w:rsidR="007265B6" w:rsidRPr="00E548DD">
        <w:rPr>
          <w:rFonts w:eastAsia="宋体"/>
          <w:b/>
          <w:i/>
          <w:lang w:eastAsia="zh-CN"/>
        </w:rPr>
        <w:t>.</w:t>
      </w:r>
    </w:p>
    <w:p w:rsidR="007265B6" w:rsidRDefault="007265B6" w:rsidP="007265B6">
      <w:pPr>
        <w:overflowPunct/>
        <w:autoSpaceDE/>
        <w:autoSpaceDN/>
        <w:adjustRightInd/>
        <w:jc w:val="both"/>
        <w:textAlignment w:val="auto"/>
        <w:rPr>
          <w:rFonts w:eastAsia="宋体"/>
          <w:lang w:eastAsia="zh-CN"/>
        </w:rPr>
      </w:pPr>
      <w:r>
        <w:rPr>
          <w:rFonts w:eastAsia="宋体"/>
          <w:lang w:eastAsia="zh-CN"/>
        </w:rPr>
        <w:t xml:space="preserve">The </w:t>
      </w:r>
      <w:r w:rsidRPr="00984BA8">
        <w:rPr>
          <w:rFonts w:eastAsia="宋体"/>
          <w:lang w:eastAsia="zh-CN"/>
        </w:rPr>
        <w:t>average percentage of upl</w:t>
      </w:r>
      <w:r>
        <w:rPr>
          <w:rFonts w:eastAsia="宋体"/>
          <w:lang w:eastAsia="zh-CN"/>
        </w:rPr>
        <w:t>ink symbols should also be defined as 50%</w:t>
      </w:r>
      <w:r>
        <w:rPr>
          <w:rFonts w:ascii="宋体" w:eastAsia="宋体" w:hAnsi="宋体" w:hint="eastAsia"/>
          <w:lang w:eastAsia="zh-CN"/>
        </w:rPr>
        <w:t>×</w:t>
      </w:r>
      <w:r w:rsidRPr="00984BA8">
        <w:rPr>
          <w:rFonts w:eastAsia="宋体"/>
          <w:lang w:eastAsia="zh-CN"/>
        </w:rPr>
        <w:t>( DutyNR, x /maxDutyN</w:t>
      </w:r>
      <w:r>
        <w:rPr>
          <w:rFonts w:eastAsia="宋体"/>
          <w:lang w:eastAsia="zh-CN"/>
        </w:rPr>
        <w:t xml:space="preserve">R,x + DutyNR, y /maxDutyNR,y) since the power class is per band rather than per Tx. The MOP </w:t>
      </w:r>
      <w:r w:rsidRPr="008A5AC6">
        <w:rPr>
          <w:rFonts w:eastAsia="宋体"/>
          <w:lang w:eastAsia="zh-CN"/>
        </w:rPr>
        <w:t>restriction</w:t>
      </w:r>
      <w:r>
        <w:rPr>
          <w:rFonts w:eastAsia="宋体"/>
          <w:lang w:eastAsia="zh-CN"/>
        </w:rPr>
        <w:t xml:space="preserve"> of UE for two band with 2Tx is same as UE for two band with 3Tx. And the default value of </w:t>
      </w:r>
      <w:r w:rsidRPr="00984BA8">
        <w:rPr>
          <w:rFonts w:eastAsia="宋体"/>
          <w:lang w:eastAsia="zh-CN"/>
        </w:rPr>
        <w:t>maxDutyN</w:t>
      </w:r>
      <w:r>
        <w:rPr>
          <w:rFonts w:eastAsia="宋体"/>
          <w:lang w:eastAsia="zh-CN"/>
        </w:rPr>
        <w:t xml:space="preserve">R,x/y should be 25% according to the baseline of SAR </w:t>
      </w:r>
      <w:r w:rsidRPr="00B53C8A">
        <w:rPr>
          <w:rFonts w:eastAsia="宋体"/>
          <w:lang w:eastAsia="zh-CN"/>
        </w:rPr>
        <w:t>requirements</w:t>
      </w:r>
      <w:r>
        <w:rPr>
          <w:rFonts w:eastAsia="宋体"/>
          <w:lang w:eastAsia="zh-CN"/>
        </w:rPr>
        <w:t xml:space="preserve">. </w:t>
      </w:r>
    </w:p>
    <w:p w:rsidR="00496668" w:rsidRPr="00AF71F4" w:rsidRDefault="007265B6" w:rsidP="006D3047">
      <w:pPr>
        <w:overflowPunct/>
        <w:autoSpaceDE/>
        <w:autoSpaceDN/>
        <w:adjustRightInd/>
        <w:jc w:val="both"/>
        <w:textAlignment w:val="auto"/>
        <w:rPr>
          <w:rFonts w:eastAsia="宋体"/>
          <w:b/>
          <w:i/>
          <w:lang w:eastAsia="zh-CN"/>
        </w:rPr>
      </w:pPr>
      <w:r w:rsidRPr="00E548DD">
        <w:rPr>
          <w:rFonts w:eastAsia="宋体" w:hint="eastAsia"/>
          <w:b/>
          <w:i/>
          <w:lang w:eastAsia="zh-CN"/>
        </w:rPr>
        <w:lastRenderedPageBreak/>
        <w:t>P</w:t>
      </w:r>
      <w:r w:rsidR="00422D54">
        <w:rPr>
          <w:rFonts w:eastAsia="宋体"/>
          <w:b/>
          <w:i/>
          <w:lang w:eastAsia="zh-CN"/>
        </w:rPr>
        <w:t>roposal4</w:t>
      </w:r>
      <w:r w:rsidRPr="00E548DD">
        <w:rPr>
          <w:rFonts w:eastAsia="宋体"/>
          <w:b/>
          <w:i/>
          <w:lang w:eastAsia="zh-CN"/>
        </w:rPr>
        <w:t>:</w:t>
      </w:r>
      <w:r>
        <w:rPr>
          <w:rFonts w:eastAsia="宋体"/>
          <w:lang w:eastAsia="zh-CN"/>
        </w:rPr>
        <w:t xml:space="preserve"> </w:t>
      </w:r>
      <w:r w:rsidRPr="00E548DD">
        <w:rPr>
          <w:rFonts w:eastAsia="宋体"/>
          <w:b/>
          <w:i/>
          <w:lang w:eastAsia="zh-CN"/>
        </w:rPr>
        <w:t xml:space="preserve">For </w:t>
      </w:r>
      <w:r w:rsidR="00A152BC" w:rsidRPr="00845A17">
        <w:rPr>
          <w:rFonts w:eastAsia="宋体"/>
          <w:b/>
          <w:i/>
          <w:lang w:eastAsia="zh-CN"/>
        </w:rPr>
        <w:t>PC1.5 HPUE for intra-band CA and inter-band CA/DC with 2Tx and/or 3Tx</w:t>
      </w:r>
      <w:r w:rsidRPr="00E548DD">
        <w:rPr>
          <w:rFonts w:eastAsia="宋体"/>
          <w:b/>
          <w:i/>
          <w:lang w:eastAsia="zh-CN"/>
        </w:rPr>
        <w:t>,</w:t>
      </w:r>
      <w:r>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B25FD3" w:rsidRDefault="00B25FD3" w:rsidP="009729F1">
      <w:pPr>
        <w:pStyle w:val="1"/>
        <w:rPr>
          <w:rFonts w:eastAsia="宋体"/>
          <w:lang w:eastAsia="zh-CN"/>
        </w:rPr>
      </w:pPr>
      <w:r w:rsidRPr="00CF1099">
        <w:rPr>
          <w:rFonts w:eastAsia="宋体" w:hint="eastAsia"/>
          <w:lang w:eastAsia="zh-CN"/>
        </w:rPr>
        <w:t>Conclusion</w:t>
      </w:r>
    </w:p>
    <w:p w:rsidR="00AF71F4" w:rsidRPr="00BD574D" w:rsidRDefault="00AF71F4" w:rsidP="00AF71F4">
      <w:pPr>
        <w:overflowPunct/>
        <w:autoSpaceDE/>
        <w:autoSpaceDN/>
        <w:adjustRightInd/>
        <w:jc w:val="both"/>
        <w:textAlignment w:val="auto"/>
        <w:rPr>
          <w:rFonts w:eastAsia="宋体"/>
          <w:b/>
          <w:i/>
          <w:lang w:eastAsia="zh-CN"/>
        </w:rPr>
      </w:pPr>
      <w:r w:rsidRPr="00BD574D">
        <w:rPr>
          <w:rFonts w:eastAsia="宋体"/>
          <w:b/>
          <w:i/>
          <w:lang w:eastAsia="zh-CN"/>
        </w:rPr>
        <w:t>Obsvertion1: P-MPR could be the default SAR solution for all the HPUE scenarios.</w:t>
      </w:r>
    </w:p>
    <w:p w:rsidR="00AF71F4" w:rsidRDefault="00AF71F4" w:rsidP="00AF71F4">
      <w:pPr>
        <w:overflowPunct/>
        <w:autoSpaceDE/>
        <w:autoSpaceDN/>
        <w:adjustRightInd/>
        <w:jc w:val="both"/>
        <w:textAlignment w:val="auto"/>
        <w:rPr>
          <w:rFonts w:eastAsia="宋体"/>
          <w:b/>
          <w:i/>
          <w:lang w:eastAsia="zh-CN"/>
        </w:rPr>
      </w:pPr>
      <w:r w:rsidRPr="000829F1">
        <w:rPr>
          <w:rFonts w:eastAsia="宋体" w:hint="eastAsia"/>
          <w:b/>
          <w:i/>
          <w:lang w:eastAsia="zh-CN"/>
        </w:rPr>
        <w:t>P</w:t>
      </w:r>
      <w:r w:rsidRPr="000829F1">
        <w:rPr>
          <w:rFonts w:eastAsia="宋体"/>
          <w:b/>
          <w:i/>
          <w:lang w:eastAsia="zh-CN"/>
        </w:rPr>
        <w:t xml:space="preserve">roposal1: P-MPR cannot be the only SAR solution for all the HPUE scenarios since we don’t support P-MPR reporting in FR1. </w:t>
      </w:r>
      <w:r w:rsidR="009A6AAC">
        <w:rPr>
          <w:rFonts w:eastAsia="宋体"/>
          <w:b/>
          <w:i/>
          <w:lang w:eastAsia="zh-CN"/>
        </w:rPr>
        <w:t>UE</w:t>
      </w:r>
      <w:r w:rsidRPr="000829F1">
        <w:rPr>
          <w:rFonts w:eastAsia="宋体"/>
          <w:b/>
          <w:i/>
          <w:lang w:eastAsia="zh-CN"/>
        </w:rPr>
        <w:t xml:space="preserve"> should have choice to support SAR solution reporting capability (i.e. duty-cycle solution) and NW could configure it.</w:t>
      </w:r>
    </w:p>
    <w:p w:rsidR="00AF71F4" w:rsidRDefault="00AF71F4" w:rsidP="00AF71F4">
      <w:pPr>
        <w:overflowPunct/>
        <w:autoSpaceDE/>
        <w:autoSpaceDN/>
        <w:adjustRightInd/>
        <w:jc w:val="both"/>
        <w:textAlignment w:val="auto"/>
        <w:rPr>
          <w:rFonts w:eastAsia="宋体"/>
          <w:b/>
          <w:i/>
          <w:lang w:eastAsia="zh-CN"/>
        </w:rPr>
      </w:pPr>
      <w:r w:rsidRPr="006D3047">
        <w:rPr>
          <w:rFonts w:eastAsia="宋体" w:hint="eastAsia"/>
          <w:b/>
          <w:i/>
          <w:lang w:eastAsia="zh-CN"/>
        </w:rPr>
        <w:t>P</w:t>
      </w:r>
      <w:r w:rsidRPr="006D3047">
        <w:rPr>
          <w:rFonts w:eastAsia="宋体"/>
          <w:b/>
          <w:i/>
          <w:lang w:eastAsia="zh-CN"/>
        </w:rPr>
        <w:t>roposal2: the option 3 in WF[1] is more reasonable</w:t>
      </w:r>
      <w:r w:rsidR="009A6AAC">
        <w:rPr>
          <w:rFonts w:eastAsia="宋体"/>
          <w:b/>
          <w:i/>
          <w:lang w:eastAsia="zh-CN"/>
        </w:rPr>
        <w:t>:</w:t>
      </w:r>
      <w:r w:rsidRPr="006D3047">
        <w:rPr>
          <w:rFonts w:eastAsia="宋体"/>
          <w:b/>
          <w:i/>
          <w:lang w:eastAsia="zh-CN"/>
        </w:rPr>
        <w:t xml:space="preserve"> all HPUE scenarios in this WI except for “increasing UE transmission power limit” should consider duty-cycle solution.</w:t>
      </w:r>
      <w:r>
        <w:rPr>
          <w:rFonts w:eastAsia="宋体"/>
          <w:b/>
          <w:i/>
          <w:lang w:eastAsia="zh-CN"/>
        </w:rPr>
        <w:t xml:space="preserve"> </w:t>
      </w:r>
    </w:p>
    <w:p w:rsidR="00AF71F4" w:rsidRPr="00E548DD" w:rsidRDefault="00AF71F4" w:rsidP="00AF71F4">
      <w:pPr>
        <w:overflowPunct/>
        <w:autoSpaceDE/>
        <w:autoSpaceDN/>
        <w:adjustRightInd/>
        <w:jc w:val="both"/>
        <w:textAlignment w:val="auto"/>
        <w:rPr>
          <w:rFonts w:eastAsia="宋体"/>
          <w:b/>
          <w:i/>
          <w:lang w:val="en-US" w:eastAsia="zh-CN"/>
        </w:rPr>
      </w:pPr>
      <w:r>
        <w:rPr>
          <w:rFonts w:eastAsia="宋体"/>
          <w:b/>
          <w:i/>
          <w:lang w:eastAsia="zh-CN"/>
        </w:rPr>
        <w:t>Proposal3</w:t>
      </w:r>
      <w:r w:rsidRPr="00E548DD">
        <w:rPr>
          <w:rFonts w:eastAsia="宋体"/>
          <w:b/>
          <w:i/>
          <w:lang w:eastAsia="zh-CN"/>
        </w:rPr>
        <w:t xml:space="preserve">: For </w:t>
      </w:r>
      <w:r w:rsidRPr="00845A17">
        <w:rPr>
          <w:rFonts w:eastAsia="宋体"/>
          <w:b/>
          <w:i/>
          <w:lang w:eastAsia="zh-CN"/>
        </w:rPr>
        <w:t>PC1.5 HPUE for intra-band CA and inter-band CA/DC with 2Tx and/or 3Tx</w:t>
      </w:r>
      <w:r w:rsidRPr="00E548DD">
        <w:rPr>
          <w:rFonts w:eastAsia="宋体"/>
          <w:b/>
          <w:i/>
          <w:lang w:eastAsia="zh-CN"/>
        </w:rPr>
        <w:t xml:space="preserve">, the general SAR solution framework </w:t>
      </w:r>
      <w:r>
        <w:rPr>
          <w:rFonts w:eastAsia="宋体"/>
          <w:b/>
          <w:i/>
          <w:lang w:eastAsia="zh-CN"/>
        </w:rPr>
        <w:t>and</w:t>
      </w:r>
      <w:r w:rsidRPr="00E548DD">
        <w:rPr>
          <w:rFonts w:eastAsia="宋体"/>
          <w:b/>
          <w:i/>
          <w:lang w:eastAsia="zh-CN"/>
        </w:rPr>
        <w:t xml:space="preserve"> </w:t>
      </w:r>
      <w:r>
        <w:rPr>
          <w:rFonts w:eastAsia="宋体"/>
          <w:b/>
          <w:i/>
          <w:lang w:eastAsia="zh-CN"/>
        </w:rPr>
        <w:t xml:space="preserve">the </w:t>
      </w:r>
      <w:r w:rsidRPr="00E548DD">
        <w:rPr>
          <w:rFonts w:eastAsia="宋体"/>
          <w:b/>
          <w:i/>
          <w:lang w:eastAsia="zh-CN"/>
        </w:rPr>
        <w:t xml:space="preserve">threshold </w:t>
      </w:r>
      <w:r w:rsidRPr="00E548DD">
        <w:rPr>
          <w:rFonts w:eastAsia="宋体" w:hint="eastAsia"/>
          <w:b/>
          <w:i/>
          <w:lang w:eastAsia="zh-CN"/>
        </w:rPr>
        <w:t>of</w:t>
      </w:r>
      <w:r w:rsidRPr="00E548DD">
        <w:rPr>
          <w:rFonts w:eastAsia="宋体"/>
          <w:b/>
          <w:i/>
          <w:lang w:eastAsia="zh-CN"/>
        </w:rPr>
        <w:t xml:space="preserve"> average percentage of uplink symbols should </w:t>
      </w:r>
      <w:r>
        <w:rPr>
          <w:rFonts w:eastAsia="宋体"/>
          <w:b/>
          <w:i/>
          <w:lang w:eastAsia="zh-CN"/>
        </w:rPr>
        <w:t xml:space="preserve">both </w:t>
      </w:r>
      <w:r w:rsidRPr="00E548DD">
        <w:rPr>
          <w:rFonts w:eastAsia="宋体"/>
          <w:b/>
          <w:i/>
          <w:lang w:eastAsia="zh-CN"/>
        </w:rPr>
        <w:t xml:space="preserve">refer to </w:t>
      </w:r>
      <w:r>
        <w:rPr>
          <w:rFonts w:eastAsia="宋体"/>
          <w:b/>
          <w:i/>
          <w:lang w:eastAsia="zh-CN"/>
        </w:rPr>
        <w:t>PC2</w:t>
      </w:r>
      <w:r w:rsidRPr="00E548DD">
        <w:rPr>
          <w:rFonts w:eastAsia="宋体"/>
          <w:b/>
          <w:i/>
          <w:lang w:eastAsia="zh-CN"/>
        </w:rPr>
        <w:t xml:space="preserve"> UE for </w:t>
      </w:r>
      <w:r>
        <w:rPr>
          <w:rFonts w:eastAsia="宋体"/>
          <w:b/>
          <w:i/>
          <w:lang w:eastAsia="zh-CN"/>
        </w:rPr>
        <w:t>CA and PC1.5 UE for single CC</w:t>
      </w:r>
      <w:r w:rsidRPr="00E548DD">
        <w:rPr>
          <w:rFonts w:eastAsia="宋体"/>
          <w:b/>
          <w:i/>
          <w:lang w:eastAsia="zh-CN"/>
        </w:rPr>
        <w:t>.</w:t>
      </w:r>
    </w:p>
    <w:p w:rsidR="00AF71F4" w:rsidRPr="00AF71F4" w:rsidRDefault="00AF71F4" w:rsidP="00AF71F4">
      <w:pPr>
        <w:overflowPunct/>
        <w:autoSpaceDE/>
        <w:autoSpaceDN/>
        <w:adjustRightInd/>
        <w:jc w:val="both"/>
        <w:textAlignment w:val="auto"/>
        <w:rPr>
          <w:rFonts w:eastAsia="宋体"/>
          <w:b/>
          <w:i/>
          <w:lang w:eastAsia="zh-CN"/>
        </w:rPr>
      </w:pPr>
      <w:r w:rsidRPr="00E548DD">
        <w:rPr>
          <w:rFonts w:eastAsia="宋体" w:hint="eastAsia"/>
          <w:b/>
          <w:i/>
          <w:lang w:eastAsia="zh-CN"/>
        </w:rPr>
        <w:t>P</w:t>
      </w:r>
      <w:r>
        <w:rPr>
          <w:rFonts w:eastAsia="宋体"/>
          <w:b/>
          <w:i/>
          <w:lang w:eastAsia="zh-CN"/>
        </w:rPr>
        <w:t>roposal4</w:t>
      </w:r>
      <w:r w:rsidRPr="00E548DD">
        <w:rPr>
          <w:rFonts w:eastAsia="宋体"/>
          <w:b/>
          <w:i/>
          <w:lang w:eastAsia="zh-CN"/>
        </w:rPr>
        <w:t>:</w:t>
      </w:r>
      <w:r>
        <w:rPr>
          <w:rFonts w:eastAsia="宋体"/>
          <w:lang w:eastAsia="zh-CN"/>
        </w:rPr>
        <w:t xml:space="preserve"> </w:t>
      </w:r>
      <w:r w:rsidRPr="00E548DD">
        <w:rPr>
          <w:rFonts w:eastAsia="宋体"/>
          <w:b/>
          <w:i/>
          <w:lang w:eastAsia="zh-CN"/>
        </w:rPr>
        <w:t xml:space="preserve">For </w:t>
      </w:r>
      <w:r w:rsidRPr="00845A17">
        <w:rPr>
          <w:rFonts w:eastAsia="宋体"/>
          <w:b/>
          <w:i/>
          <w:lang w:eastAsia="zh-CN"/>
        </w:rPr>
        <w:t>PC1.5 HPUE for intra-band CA and inter-band CA/DC with 2Tx and/or 3Tx</w:t>
      </w:r>
      <w:r w:rsidRPr="00E548DD">
        <w:rPr>
          <w:rFonts w:eastAsia="宋体"/>
          <w:b/>
          <w:i/>
          <w:lang w:eastAsia="zh-CN"/>
        </w:rPr>
        <w:t>,</w:t>
      </w:r>
      <w:r>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B25FD3" w:rsidRPr="00C96D46" w:rsidRDefault="00B25FD3" w:rsidP="00FE6395">
      <w:pPr>
        <w:pStyle w:val="1"/>
        <w:rPr>
          <w:rFonts w:eastAsia="宋体"/>
          <w:lang w:eastAsia="zh-CN"/>
        </w:rPr>
      </w:pPr>
      <w:r w:rsidRPr="00C96D46">
        <w:t>References</w:t>
      </w:r>
    </w:p>
    <w:p w:rsidR="00AF2F2E" w:rsidRDefault="00AF71F4" w:rsidP="00AF71F4">
      <w:pPr>
        <w:pStyle w:val="a7"/>
        <w:numPr>
          <w:ilvl w:val="0"/>
          <w:numId w:val="5"/>
        </w:numPr>
        <w:tabs>
          <w:tab w:val="left" w:pos="567"/>
        </w:tabs>
        <w:spacing w:after="0"/>
        <w:rPr>
          <w:sz w:val="22"/>
          <w:szCs w:val="22"/>
          <w:lang w:val="en-US" w:eastAsia="zh-CN"/>
        </w:rPr>
      </w:pPr>
      <w:r w:rsidRPr="00AF71F4">
        <w:rPr>
          <w:sz w:val="22"/>
          <w:szCs w:val="22"/>
          <w:lang w:val="en-US" w:eastAsia="zh-CN"/>
        </w:rPr>
        <w:t>R4-2406583</w:t>
      </w:r>
      <w:r w:rsidR="00AF2F2E">
        <w:rPr>
          <w:sz w:val="22"/>
          <w:szCs w:val="22"/>
          <w:lang w:val="en-US" w:eastAsia="zh-CN"/>
        </w:rPr>
        <w:t>,</w:t>
      </w:r>
      <w:r w:rsidR="00D355FE">
        <w:rPr>
          <w:sz w:val="22"/>
          <w:szCs w:val="22"/>
          <w:lang w:val="en-US" w:eastAsia="zh-CN"/>
        </w:rPr>
        <w:t xml:space="preserve"> </w:t>
      </w:r>
      <w:r w:rsidRPr="00AF71F4">
        <w:rPr>
          <w:sz w:val="22"/>
          <w:szCs w:val="22"/>
          <w:lang w:val="en-US" w:eastAsia="zh-CN"/>
        </w:rPr>
        <w:t>WF on HPUE UE for UL CA and EN-DC</w:t>
      </w:r>
      <w:r w:rsidR="00733188">
        <w:rPr>
          <w:sz w:val="22"/>
          <w:szCs w:val="22"/>
          <w:lang w:val="en-US" w:eastAsia="zh-CN"/>
        </w:rPr>
        <w:t>,</w:t>
      </w:r>
      <w:r w:rsidR="00D355FE">
        <w:rPr>
          <w:sz w:val="22"/>
          <w:szCs w:val="22"/>
          <w:lang w:val="en-US" w:eastAsia="zh-CN"/>
        </w:rPr>
        <w:t xml:space="preserve"> </w:t>
      </w:r>
      <w:r w:rsidR="00A21146">
        <w:rPr>
          <w:sz w:val="22"/>
          <w:szCs w:val="22"/>
          <w:lang w:val="en-US" w:eastAsia="zh-CN"/>
        </w:rPr>
        <w:t>RAN4#110</w:t>
      </w:r>
      <w:r>
        <w:rPr>
          <w:sz w:val="22"/>
          <w:szCs w:val="22"/>
          <w:lang w:val="en-US" w:eastAsia="zh-CN"/>
        </w:rPr>
        <w:t>-bis</w:t>
      </w:r>
    </w:p>
    <w:p w:rsidR="00D355FE" w:rsidRPr="00161ABE" w:rsidRDefault="00AF71F4" w:rsidP="00AF71F4">
      <w:pPr>
        <w:pStyle w:val="a7"/>
        <w:numPr>
          <w:ilvl w:val="0"/>
          <w:numId w:val="5"/>
        </w:numPr>
        <w:rPr>
          <w:sz w:val="22"/>
          <w:szCs w:val="22"/>
          <w:lang w:val="en-US"/>
        </w:rPr>
      </w:pPr>
      <w:r w:rsidRPr="00AF71F4">
        <w:rPr>
          <w:sz w:val="22"/>
          <w:szCs w:val="22"/>
          <w:lang w:val="en-US"/>
        </w:rPr>
        <w:t>R4-2317769</w:t>
      </w:r>
      <w:r>
        <w:rPr>
          <w:sz w:val="22"/>
          <w:szCs w:val="22"/>
          <w:lang w:val="en-US"/>
        </w:rPr>
        <w:t xml:space="preserve">, </w:t>
      </w:r>
      <w:r w:rsidRPr="00AF71F4">
        <w:rPr>
          <w:sz w:val="22"/>
          <w:szCs w:val="22"/>
          <w:lang w:val="en-US"/>
        </w:rPr>
        <w:t>WF on UL power enhancement</w:t>
      </w:r>
      <w:r>
        <w:rPr>
          <w:sz w:val="22"/>
          <w:szCs w:val="22"/>
          <w:lang w:val="en-US"/>
        </w:rPr>
        <w:t>, RAN4#108-bis</w:t>
      </w:r>
    </w:p>
    <w:sectPr w:rsidR="00D355FE" w:rsidRPr="00161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919" w:rsidRDefault="00CA6919" w:rsidP="0000138F">
      <w:pPr>
        <w:spacing w:after="0"/>
      </w:pPr>
      <w:r>
        <w:separator/>
      </w:r>
    </w:p>
  </w:endnote>
  <w:endnote w:type="continuationSeparator" w:id="0">
    <w:p w:rsidR="00CA6919" w:rsidRDefault="00CA6919"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919" w:rsidRDefault="00CA6919" w:rsidP="0000138F">
      <w:pPr>
        <w:spacing w:after="0"/>
      </w:pPr>
      <w:r>
        <w:separator/>
      </w:r>
    </w:p>
  </w:footnote>
  <w:footnote w:type="continuationSeparator" w:id="0">
    <w:p w:rsidR="00CA6919" w:rsidRDefault="00CA6919"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70E4"/>
    <w:rsid w:val="00060B95"/>
    <w:rsid w:val="000646E8"/>
    <w:rsid w:val="0008233E"/>
    <w:rsid w:val="000829F1"/>
    <w:rsid w:val="000A36F9"/>
    <w:rsid w:val="000B1E94"/>
    <w:rsid w:val="000D2D18"/>
    <w:rsid w:val="000D3D9B"/>
    <w:rsid w:val="000D4AB5"/>
    <w:rsid w:val="000E0BD6"/>
    <w:rsid w:val="0011628C"/>
    <w:rsid w:val="00131465"/>
    <w:rsid w:val="00134A02"/>
    <w:rsid w:val="00145368"/>
    <w:rsid w:val="00155A40"/>
    <w:rsid w:val="00161ABE"/>
    <w:rsid w:val="00181F46"/>
    <w:rsid w:val="00183A72"/>
    <w:rsid w:val="001A56AF"/>
    <w:rsid w:val="001B6CCA"/>
    <w:rsid w:val="001E0617"/>
    <w:rsid w:val="001F32EA"/>
    <w:rsid w:val="001F3FDA"/>
    <w:rsid w:val="00225DD9"/>
    <w:rsid w:val="002312DE"/>
    <w:rsid w:val="00232573"/>
    <w:rsid w:val="0023600E"/>
    <w:rsid w:val="00265B0F"/>
    <w:rsid w:val="002722E5"/>
    <w:rsid w:val="00294BB6"/>
    <w:rsid w:val="002C6D20"/>
    <w:rsid w:val="002C70B1"/>
    <w:rsid w:val="002D4215"/>
    <w:rsid w:val="002D71F5"/>
    <w:rsid w:val="002E6252"/>
    <w:rsid w:val="00302BC3"/>
    <w:rsid w:val="003216E2"/>
    <w:rsid w:val="00347AA1"/>
    <w:rsid w:val="003532E6"/>
    <w:rsid w:val="003577F1"/>
    <w:rsid w:val="00360A72"/>
    <w:rsid w:val="00363762"/>
    <w:rsid w:val="00365982"/>
    <w:rsid w:val="00373824"/>
    <w:rsid w:val="00376776"/>
    <w:rsid w:val="00382E1C"/>
    <w:rsid w:val="003C5450"/>
    <w:rsid w:val="003D598E"/>
    <w:rsid w:val="003D7442"/>
    <w:rsid w:val="003F24D7"/>
    <w:rsid w:val="003F5CEA"/>
    <w:rsid w:val="00400D3A"/>
    <w:rsid w:val="00422D54"/>
    <w:rsid w:val="00467F67"/>
    <w:rsid w:val="004707B3"/>
    <w:rsid w:val="00470D4B"/>
    <w:rsid w:val="00496668"/>
    <w:rsid w:val="004C6273"/>
    <w:rsid w:val="004F06F6"/>
    <w:rsid w:val="004F56AD"/>
    <w:rsid w:val="00515849"/>
    <w:rsid w:val="005215E5"/>
    <w:rsid w:val="00581261"/>
    <w:rsid w:val="0058255E"/>
    <w:rsid w:val="00582A1F"/>
    <w:rsid w:val="00582D4F"/>
    <w:rsid w:val="005834BB"/>
    <w:rsid w:val="005A722B"/>
    <w:rsid w:val="005C1796"/>
    <w:rsid w:val="005F57C7"/>
    <w:rsid w:val="00611215"/>
    <w:rsid w:val="00613A0C"/>
    <w:rsid w:val="00614E8A"/>
    <w:rsid w:val="006303C7"/>
    <w:rsid w:val="00640DE3"/>
    <w:rsid w:val="00642787"/>
    <w:rsid w:val="0065633B"/>
    <w:rsid w:val="00663F95"/>
    <w:rsid w:val="00677D51"/>
    <w:rsid w:val="00697215"/>
    <w:rsid w:val="006D3047"/>
    <w:rsid w:val="006E4ECA"/>
    <w:rsid w:val="00702901"/>
    <w:rsid w:val="00702B35"/>
    <w:rsid w:val="0070418F"/>
    <w:rsid w:val="00720855"/>
    <w:rsid w:val="007265B6"/>
    <w:rsid w:val="00731077"/>
    <w:rsid w:val="00733188"/>
    <w:rsid w:val="00747366"/>
    <w:rsid w:val="0075022B"/>
    <w:rsid w:val="00755A03"/>
    <w:rsid w:val="00771C4A"/>
    <w:rsid w:val="00772002"/>
    <w:rsid w:val="0077501A"/>
    <w:rsid w:val="00775FFC"/>
    <w:rsid w:val="00794BDC"/>
    <w:rsid w:val="00796280"/>
    <w:rsid w:val="007B26C5"/>
    <w:rsid w:val="007B2C96"/>
    <w:rsid w:val="007D3C5A"/>
    <w:rsid w:val="007E20CC"/>
    <w:rsid w:val="007E45E3"/>
    <w:rsid w:val="007E7502"/>
    <w:rsid w:val="007F4BF1"/>
    <w:rsid w:val="00804EB1"/>
    <w:rsid w:val="00845A17"/>
    <w:rsid w:val="008772EE"/>
    <w:rsid w:val="008841BB"/>
    <w:rsid w:val="008A5AC6"/>
    <w:rsid w:val="008E1BBB"/>
    <w:rsid w:val="008E61BA"/>
    <w:rsid w:val="008F67D0"/>
    <w:rsid w:val="00916C0C"/>
    <w:rsid w:val="009173BD"/>
    <w:rsid w:val="00921652"/>
    <w:rsid w:val="00951507"/>
    <w:rsid w:val="009516CA"/>
    <w:rsid w:val="009729F1"/>
    <w:rsid w:val="00984BA8"/>
    <w:rsid w:val="009A499A"/>
    <w:rsid w:val="009A6AAC"/>
    <w:rsid w:val="009B4935"/>
    <w:rsid w:val="009D381D"/>
    <w:rsid w:val="009E35C1"/>
    <w:rsid w:val="009F551C"/>
    <w:rsid w:val="00A00DE2"/>
    <w:rsid w:val="00A152BC"/>
    <w:rsid w:val="00A20F1D"/>
    <w:rsid w:val="00A21146"/>
    <w:rsid w:val="00A21164"/>
    <w:rsid w:val="00A26FD0"/>
    <w:rsid w:val="00A65A39"/>
    <w:rsid w:val="00A75FB4"/>
    <w:rsid w:val="00A76D6B"/>
    <w:rsid w:val="00A921AC"/>
    <w:rsid w:val="00A943B1"/>
    <w:rsid w:val="00AB0650"/>
    <w:rsid w:val="00AC21AA"/>
    <w:rsid w:val="00AC2806"/>
    <w:rsid w:val="00AC4AF7"/>
    <w:rsid w:val="00AF2F2E"/>
    <w:rsid w:val="00AF71F4"/>
    <w:rsid w:val="00B11A9F"/>
    <w:rsid w:val="00B2262C"/>
    <w:rsid w:val="00B24000"/>
    <w:rsid w:val="00B25FD3"/>
    <w:rsid w:val="00B3409B"/>
    <w:rsid w:val="00B36C33"/>
    <w:rsid w:val="00B46CB4"/>
    <w:rsid w:val="00B47962"/>
    <w:rsid w:val="00B537D7"/>
    <w:rsid w:val="00B53C8A"/>
    <w:rsid w:val="00B6244E"/>
    <w:rsid w:val="00B62BE4"/>
    <w:rsid w:val="00B72845"/>
    <w:rsid w:val="00BA47AA"/>
    <w:rsid w:val="00BA684F"/>
    <w:rsid w:val="00BB4569"/>
    <w:rsid w:val="00BC0F4C"/>
    <w:rsid w:val="00BC6CA8"/>
    <w:rsid w:val="00BD574D"/>
    <w:rsid w:val="00BE22EF"/>
    <w:rsid w:val="00BF56A1"/>
    <w:rsid w:val="00C11739"/>
    <w:rsid w:val="00C312C3"/>
    <w:rsid w:val="00C5237F"/>
    <w:rsid w:val="00C749DD"/>
    <w:rsid w:val="00C938F7"/>
    <w:rsid w:val="00C96C97"/>
    <w:rsid w:val="00CA420A"/>
    <w:rsid w:val="00CA6919"/>
    <w:rsid w:val="00CC68FD"/>
    <w:rsid w:val="00CD414E"/>
    <w:rsid w:val="00CE1D9E"/>
    <w:rsid w:val="00CF5B42"/>
    <w:rsid w:val="00D311FC"/>
    <w:rsid w:val="00D32994"/>
    <w:rsid w:val="00D355FE"/>
    <w:rsid w:val="00D35BE5"/>
    <w:rsid w:val="00D36E41"/>
    <w:rsid w:val="00D434E5"/>
    <w:rsid w:val="00D94F27"/>
    <w:rsid w:val="00DA398C"/>
    <w:rsid w:val="00DA59EE"/>
    <w:rsid w:val="00DB1B8F"/>
    <w:rsid w:val="00DD4EDB"/>
    <w:rsid w:val="00DD7C73"/>
    <w:rsid w:val="00DE44C8"/>
    <w:rsid w:val="00DE7CCC"/>
    <w:rsid w:val="00DF2116"/>
    <w:rsid w:val="00E01372"/>
    <w:rsid w:val="00E17A38"/>
    <w:rsid w:val="00E452A1"/>
    <w:rsid w:val="00E548DD"/>
    <w:rsid w:val="00E55067"/>
    <w:rsid w:val="00E632FE"/>
    <w:rsid w:val="00E73B18"/>
    <w:rsid w:val="00E84911"/>
    <w:rsid w:val="00EA0815"/>
    <w:rsid w:val="00EB7383"/>
    <w:rsid w:val="00ED409E"/>
    <w:rsid w:val="00EE23DB"/>
    <w:rsid w:val="00F2669F"/>
    <w:rsid w:val="00F77F58"/>
    <w:rsid w:val="00F9629F"/>
    <w:rsid w:val="00FA7565"/>
    <w:rsid w:val="00FB488A"/>
    <w:rsid w:val="00FC0125"/>
    <w:rsid w:val="00FC4DD7"/>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049BF"/>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3771-6AF8-4D16-AC9E-FFDFB5D8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8421</TotalTime>
  <Pages>3</Pages>
  <Words>861</Words>
  <Characters>4910</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46</cp:revision>
  <dcterms:created xsi:type="dcterms:W3CDTF">2023-11-03T06:13:00Z</dcterms:created>
  <dcterms:modified xsi:type="dcterms:W3CDTF">2024-05-13T08:10:00Z</dcterms:modified>
</cp:coreProperties>
</file>